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CD9" w:rsidRDefault="009C0677">
      <w:pPr>
        <w:pStyle w:val="Standard"/>
        <w:jc w:val="both"/>
        <w:rPr>
          <w:rFonts w:ascii="Tahoma" w:hAnsi="Tahoma"/>
          <w:sz w:val="22"/>
          <w:szCs w:val="22"/>
        </w:rPr>
      </w:pPr>
      <w:bookmarkStart w:id="0" w:name="__DdeLink__68429_1227967904"/>
      <w:bookmarkStart w:id="1" w:name="_GoBack"/>
      <w:bookmarkEnd w:id="1"/>
      <w:r>
        <w:rPr>
          <w:rFonts w:ascii="Tahoma" w:hAnsi="Tahoma"/>
          <w:b/>
          <w:bCs/>
          <w:sz w:val="22"/>
          <w:szCs w:val="22"/>
        </w:rPr>
        <w:t>Visti</w:t>
      </w:r>
      <w:r>
        <w:rPr>
          <w:rFonts w:ascii="Tahoma" w:hAnsi="Tahoma"/>
          <w:sz w:val="22"/>
          <w:szCs w:val="22"/>
        </w:rPr>
        <w:t>:</w:t>
      </w:r>
    </w:p>
    <w:p w:rsidR="00CB6CD9" w:rsidRDefault="009C0677">
      <w:pPr>
        <w:pStyle w:val="Standard"/>
        <w:numPr>
          <w:ilvl w:val="0"/>
          <w:numId w:val="1"/>
        </w:numPr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il Testo Unico delle Leggi sull'Ordinamento degli Enti Locali (T.U.E.L.), approvato con D.Lgs. 18 agosto 2000, n. 267, ed in particolare l'articolo 50, comma 10, e l'articolo </w:t>
      </w:r>
      <w:r>
        <w:rPr>
          <w:rFonts w:ascii="Tahoma" w:hAnsi="Tahoma"/>
          <w:sz w:val="22"/>
          <w:szCs w:val="22"/>
        </w:rPr>
        <w:t>89, in materia di organizzazione degli uffici e dei servizi e nomina dei relativi responsabili, gli articoli 42, 48 e 177, in materia di competenze degli organi, e gli articoli 151, 183 e seguenti, in materia di spesa;</w:t>
      </w:r>
    </w:p>
    <w:p w:rsidR="00CB6CD9" w:rsidRDefault="009C0677">
      <w:pPr>
        <w:pStyle w:val="Standard"/>
        <w:numPr>
          <w:ilvl w:val="0"/>
          <w:numId w:val="1"/>
        </w:numPr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il D.Lgs. 23 giugno 2011, n. 118, rec</w:t>
      </w:r>
      <w:r>
        <w:rPr>
          <w:rFonts w:ascii="Tahoma" w:hAnsi="Tahoma"/>
          <w:sz w:val="22"/>
          <w:szCs w:val="22"/>
        </w:rPr>
        <w:t>ante disposizioni in materia di armonizzazione dei sistemi contabili e degli schemi di bilancio delle Regioni, degli enti locali e dei loro organismi;</w:t>
      </w:r>
    </w:p>
    <w:p w:rsidR="00CB6CD9" w:rsidRDefault="009C0677">
      <w:pPr>
        <w:pStyle w:val="Standard"/>
        <w:numPr>
          <w:ilvl w:val="0"/>
          <w:numId w:val="1"/>
        </w:numPr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il vigente Regolamento di contabilità, approvato con deliberazione di Consiglio Comunale n. 76 del 29 dic</w:t>
      </w:r>
      <w:r>
        <w:rPr>
          <w:rFonts w:ascii="Tahoma" w:hAnsi="Tahoma"/>
          <w:sz w:val="22"/>
          <w:szCs w:val="22"/>
        </w:rPr>
        <w:t>embre 2005, e successive modifiche ed integrazioni;</w:t>
      </w:r>
    </w:p>
    <w:p w:rsidR="00CB6CD9" w:rsidRDefault="009C0677">
      <w:pPr>
        <w:pStyle w:val="Textbody"/>
        <w:numPr>
          <w:ilvl w:val="0"/>
          <w:numId w:val="1"/>
        </w:numPr>
        <w:spacing w:after="0"/>
        <w:jc w:val="both"/>
        <w:rPr>
          <w:rFonts w:ascii="Tahoma" w:hAnsi="Tahoma"/>
          <w:color w:val="000000"/>
          <w:sz w:val="22"/>
          <w:szCs w:val="22"/>
        </w:rPr>
      </w:pPr>
      <w:r>
        <w:rPr>
          <w:rFonts w:ascii="Tahoma" w:hAnsi="Tahoma"/>
          <w:color w:val="000000"/>
          <w:sz w:val="22"/>
          <w:szCs w:val="22"/>
        </w:rPr>
        <w:t>il regolamento comunale per la disciplina dei controlli interni dell’azione amministrativa, approvato con deliberazione del Consiglio Comunale n. 2 del 22 gennaio 2013;</w:t>
      </w:r>
    </w:p>
    <w:p w:rsidR="00CB6CD9" w:rsidRDefault="00CB6CD9">
      <w:pPr>
        <w:pStyle w:val="Standard"/>
        <w:jc w:val="both"/>
        <w:rPr>
          <w:rFonts w:ascii="Tahoma" w:hAnsi="Tahoma"/>
          <w:sz w:val="22"/>
          <w:szCs w:val="22"/>
        </w:rPr>
      </w:pPr>
    </w:p>
    <w:p w:rsidR="00CB6CD9" w:rsidRDefault="009C0677">
      <w:pPr>
        <w:pStyle w:val="Standard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Nell'esercizio</w:t>
      </w:r>
      <w:r>
        <w:rPr>
          <w:rFonts w:ascii="Tahoma" w:hAnsi="Tahoma"/>
          <w:sz w:val="22"/>
          <w:szCs w:val="22"/>
        </w:rPr>
        <w:t xml:space="preserve"> delle funzioni di c</w:t>
      </w:r>
      <w:r>
        <w:rPr>
          <w:rFonts w:ascii="Tahoma" w:hAnsi="Tahoma"/>
          <w:sz w:val="22"/>
          <w:szCs w:val="22"/>
        </w:rPr>
        <w:t>ui all'art. 109, comma 2, del T.U.E.L.;</w:t>
      </w:r>
    </w:p>
    <w:p w:rsidR="00CB6CD9" w:rsidRDefault="00CB6CD9">
      <w:pPr>
        <w:pStyle w:val="Standard"/>
        <w:jc w:val="both"/>
        <w:rPr>
          <w:rFonts w:ascii="Tahoma" w:hAnsi="Tahoma"/>
          <w:sz w:val="22"/>
          <w:szCs w:val="22"/>
        </w:rPr>
      </w:pPr>
    </w:p>
    <w:p w:rsidR="00CB6CD9" w:rsidRDefault="009C0677">
      <w:pPr>
        <w:pStyle w:val="Standard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Ravvisata</w:t>
      </w:r>
      <w:r>
        <w:rPr>
          <w:rFonts w:ascii="Tahoma" w:hAnsi="Tahoma"/>
          <w:sz w:val="22"/>
          <w:szCs w:val="22"/>
        </w:rPr>
        <w:t xml:space="preserve"> la propria competenza in forza del decreto di nomina del Sindaco n. 1 del 4 gennaio 2014, che conserva ultrattivamente la sua efficacia per garantire la continuità dell'azione amministrativa;</w:t>
      </w:r>
    </w:p>
    <w:p w:rsidR="00CB6CD9" w:rsidRDefault="00CB6CD9">
      <w:pPr>
        <w:pStyle w:val="Standard"/>
        <w:jc w:val="both"/>
        <w:rPr>
          <w:rFonts w:ascii="Tahoma" w:hAnsi="Tahoma"/>
          <w:sz w:val="22"/>
          <w:szCs w:val="22"/>
        </w:rPr>
      </w:pPr>
    </w:p>
    <w:p w:rsidR="00CB6CD9" w:rsidRDefault="009C0677">
      <w:pPr>
        <w:pStyle w:val="Standard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Visti</w:t>
      </w:r>
      <w:r>
        <w:rPr>
          <w:rFonts w:ascii="Tahoma" w:hAnsi="Tahoma"/>
          <w:sz w:val="22"/>
          <w:szCs w:val="22"/>
        </w:rPr>
        <w:t xml:space="preserve"> in par</w:t>
      </w:r>
      <w:r>
        <w:rPr>
          <w:rFonts w:ascii="Tahoma" w:hAnsi="Tahoma"/>
          <w:sz w:val="22"/>
          <w:szCs w:val="22"/>
        </w:rPr>
        <w:t>ticolare:</w:t>
      </w:r>
    </w:p>
    <w:p w:rsidR="00CB6CD9" w:rsidRDefault="009C0677">
      <w:pPr>
        <w:pStyle w:val="Standard"/>
        <w:numPr>
          <w:ilvl w:val="0"/>
          <w:numId w:val="2"/>
        </w:numPr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l'articolo 180, comma 3, lettera d), del T.U.E.L., che prevede l'obbligo dell'indicazione al tesoriere, negli ordinativi di incasso, dell'eventuale natura vincolata delle entrate;</w:t>
      </w:r>
    </w:p>
    <w:p w:rsidR="00CB6CD9" w:rsidRDefault="009C0677">
      <w:pPr>
        <w:pStyle w:val="Standard"/>
        <w:numPr>
          <w:ilvl w:val="0"/>
          <w:numId w:val="2"/>
        </w:numPr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l'articolo 185, comma 2, lettera i), del T.U.E.L., che prevede l'o</w:t>
      </w:r>
      <w:r>
        <w:rPr>
          <w:rFonts w:ascii="Tahoma" w:hAnsi="Tahoma"/>
          <w:sz w:val="22"/>
          <w:szCs w:val="22"/>
        </w:rPr>
        <w:t>bbligo dell'indicazione al tesoriere, negli ordinativi di pagamento, dell'eventuale natura vincolata delle spese;</w:t>
      </w:r>
    </w:p>
    <w:p w:rsidR="00CB6CD9" w:rsidRDefault="009C0677">
      <w:pPr>
        <w:pStyle w:val="Standard"/>
        <w:numPr>
          <w:ilvl w:val="0"/>
          <w:numId w:val="2"/>
        </w:numPr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l'articolo 195, che disciplina l'utilizzo delle entrate vincolate, in termini di cassa, per il finanziamento di spese correnti generiche, nei </w:t>
      </w:r>
      <w:r>
        <w:rPr>
          <w:rFonts w:ascii="Tahoma" w:hAnsi="Tahoma"/>
          <w:sz w:val="22"/>
          <w:szCs w:val="22"/>
        </w:rPr>
        <w:t>limiti dell'anticipazione di tesoreria;</w:t>
      </w:r>
    </w:p>
    <w:p w:rsidR="00CB6CD9" w:rsidRDefault="009C0677">
      <w:pPr>
        <w:pStyle w:val="Standard"/>
        <w:numPr>
          <w:ilvl w:val="0"/>
          <w:numId w:val="2"/>
        </w:numPr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l'articolo 209, comma 3-bis, del T.U.E.L. che prevede l'obbligo per il tesoriere di tenere contabilmente distinti gli incassi di entrate vincolate ed i prelievi di tali risorse;</w:t>
      </w:r>
    </w:p>
    <w:p w:rsidR="00CB6CD9" w:rsidRDefault="009C0677">
      <w:pPr>
        <w:pStyle w:val="Standard"/>
        <w:numPr>
          <w:ilvl w:val="0"/>
          <w:numId w:val="2"/>
        </w:numPr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il punto 10 del principio contabile ap</w:t>
      </w:r>
      <w:r>
        <w:rPr>
          <w:rFonts w:ascii="Tahoma" w:hAnsi="Tahoma"/>
          <w:sz w:val="22"/>
          <w:szCs w:val="22"/>
        </w:rPr>
        <w:t>plicato concernente la contabilità finanziaria, allegato n. 4/2 al D.Lgs. 118/2011, che disciplina la contabilizzazione dell'utilizzo degli incassi vincolati;</w:t>
      </w:r>
    </w:p>
    <w:p w:rsidR="00CB6CD9" w:rsidRDefault="00CB6CD9">
      <w:pPr>
        <w:pStyle w:val="Standard"/>
        <w:jc w:val="both"/>
        <w:rPr>
          <w:rFonts w:ascii="Tahoma" w:hAnsi="Tahoma"/>
          <w:sz w:val="22"/>
          <w:szCs w:val="22"/>
        </w:rPr>
      </w:pPr>
    </w:p>
    <w:p w:rsidR="00CB6CD9" w:rsidRDefault="009C0677">
      <w:pPr>
        <w:pStyle w:val="Standard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Rilevato</w:t>
      </w:r>
      <w:r>
        <w:rPr>
          <w:rFonts w:ascii="Tahoma" w:hAnsi="Tahoma"/>
          <w:sz w:val="22"/>
          <w:szCs w:val="22"/>
        </w:rPr>
        <w:t xml:space="preserve"> che l'articolo 195, comma , ultimo periodo, del T.U.E.L. dispone che i movimenti di utilizzo e di reintegro delle somme vincolate debbano essere oggetto di registrazione contabile secondo le modalità indicate nel principio contabile applicato;</w:t>
      </w:r>
    </w:p>
    <w:p w:rsidR="00CB6CD9" w:rsidRDefault="00CB6CD9">
      <w:pPr>
        <w:pStyle w:val="Standard"/>
        <w:jc w:val="both"/>
        <w:rPr>
          <w:rFonts w:ascii="Tahoma" w:hAnsi="Tahoma"/>
          <w:sz w:val="22"/>
          <w:szCs w:val="22"/>
        </w:rPr>
      </w:pPr>
    </w:p>
    <w:p w:rsidR="00CB6CD9" w:rsidRDefault="009C0677">
      <w:pPr>
        <w:pStyle w:val="Standard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Vista</w:t>
      </w:r>
      <w:r>
        <w:rPr>
          <w:rFonts w:ascii="Tahoma" w:hAnsi="Tahoma"/>
          <w:sz w:val="22"/>
          <w:szCs w:val="22"/>
        </w:rPr>
        <w:t xml:space="preserve"> la n</w:t>
      </w:r>
      <w:r>
        <w:rPr>
          <w:rFonts w:ascii="Tahoma" w:hAnsi="Tahoma"/>
          <w:sz w:val="22"/>
          <w:szCs w:val="22"/>
        </w:rPr>
        <w:t>ota pervenuta a mezzo posta elettronica dall'istituto tesoriere, che richiama l'attenzione sulla necessità che l'ente dichiari l'ammontare delle giacenze vincolate al 1 gennaio 2015, per l'effettuazione delle necessarie operazioni e registrazioni contabili</w:t>
      </w:r>
      <w:r>
        <w:rPr>
          <w:rFonts w:ascii="Tahoma" w:hAnsi="Tahoma"/>
          <w:sz w:val="22"/>
          <w:szCs w:val="22"/>
        </w:rPr>
        <w:t>;</w:t>
      </w:r>
    </w:p>
    <w:p w:rsidR="00CB6CD9" w:rsidRDefault="00CB6CD9">
      <w:pPr>
        <w:pStyle w:val="Standard"/>
        <w:jc w:val="both"/>
        <w:rPr>
          <w:rFonts w:ascii="Tahoma" w:hAnsi="Tahoma"/>
          <w:sz w:val="22"/>
          <w:szCs w:val="22"/>
        </w:rPr>
      </w:pPr>
    </w:p>
    <w:p w:rsidR="00CB6CD9" w:rsidRDefault="009C0677">
      <w:pPr>
        <w:pStyle w:val="Standard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Dato atto</w:t>
      </w:r>
      <w:r>
        <w:rPr>
          <w:rFonts w:ascii="Tahoma" w:hAnsi="Tahoma"/>
          <w:sz w:val="22"/>
          <w:szCs w:val="22"/>
        </w:rPr>
        <w:t xml:space="preserve"> che l'ente non ha finora adottato un sistema puntuale di contabilizzazione degli incassi vincolati, specificamente attraverso sottoconti del conto di tesoreria o della contabilità speciale presso la Banca d'Italia;</w:t>
      </w:r>
    </w:p>
    <w:p w:rsidR="00CB6CD9" w:rsidRDefault="00CB6CD9">
      <w:pPr>
        <w:pStyle w:val="Standard"/>
        <w:jc w:val="both"/>
        <w:rPr>
          <w:rFonts w:ascii="Tahoma" w:hAnsi="Tahoma"/>
          <w:sz w:val="22"/>
          <w:szCs w:val="22"/>
        </w:rPr>
      </w:pPr>
    </w:p>
    <w:p w:rsidR="00CB6CD9" w:rsidRDefault="009C0677">
      <w:pPr>
        <w:pStyle w:val="Standard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Considerato</w:t>
      </w:r>
      <w:r>
        <w:rPr>
          <w:rFonts w:ascii="Tahoma" w:hAnsi="Tahoma"/>
          <w:sz w:val="22"/>
          <w:szCs w:val="22"/>
        </w:rPr>
        <w:t xml:space="preserve"> che il punto 10</w:t>
      </w:r>
      <w:r>
        <w:rPr>
          <w:rFonts w:ascii="Tahoma" w:hAnsi="Tahoma"/>
          <w:sz w:val="22"/>
          <w:szCs w:val="22"/>
        </w:rPr>
        <w:t>.6 del principio contabile applicato, nel disporre che l'importo della cassa vincolata al 1 gennaio 2015 sia definito con determinazione del responsabile finanziario e comunicato formalmente al proprio tesoriere, individua una modalità convenzionale per la</w:t>
      </w:r>
      <w:r>
        <w:rPr>
          <w:rFonts w:ascii="Tahoma" w:hAnsi="Tahoma"/>
          <w:sz w:val="22"/>
          <w:szCs w:val="22"/>
        </w:rPr>
        <w:t xml:space="preserve"> quantificazione di dette somme, in un importo non inferiore (per gli enti che hanno partecipato alla sperimentazione nel 2014) alla differenza fra:</w:t>
      </w:r>
    </w:p>
    <w:p w:rsidR="00CB6CD9" w:rsidRDefault="009C0677">
      <w:pPr>
        <w:pStyle w:val="Standard"/>
        <w:numPr>
          <w:ilvl w:val="0"/>
          <w:numId w:val="3"/>
        </w:numPr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la sommatoria dei residui passivi e del fondo pluriennale vincolato (e delle quote vincolate dell'avanzo, a</w:t>
      </w:r>
      <w:r>
        <w:rPr>
          <w:rFonts w:ascii="Tahoma" w:hAnsi="Tahoma"/>
          <w:sz w:val="22"/>
          <w:szCs w:val="22"/>
        </w:rPr>
        <w:t>nche se non espressamente citate nel principio) relativi a capitoli vincolati al 31/12/2014 (somme vincolate ancora da pagare)</w:t>
      </w:r>
    </w:p>
    <w:p w:rsidR="00CB6CD9" w:rsidRDefault="009C0677">
      <w:pPr>
        <w:pStyle w:val="Standard"/>
        <w:numPr>
          <w:ilvl w:val="0"/>
          <w:numId w:val="3"/>
        </w:numPr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residui attivi riguardanti entrate vincolate al 31/12/2014 (somme vincolate ancora da riscuotere)</w:t>
      </w:r>
    </w:p>
    <w:p w:rsidR="00CB6CD9" w:rsidRDefault="009C0677">
      <w:pPr>
        <w:pStyle w:val="Standard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con riserva di verifica e revis</w:t>
      </w:r>
      <w:r>
        <w:rPr>
          <w:rFonts w:ascii="Tahoma" w:hAnsi="Tahoma"/>
          <w:sz w:val="22"/>
          <w:szCs w:val="22"/>
        </w:rPr>
        <w:t>ione in sede di rendiconto;</w:t>
      </w:r>
    </w:p>
    <w:p w:rsidR="00CB6CD9" w:rsidRDefault="00CB6CD9">
      <w:pPr>
        <w:pStyle w:val="Standard"/>
        <w:jc w:val="both"/>
        <w:rPr>
          <w:rFonts w:ascii="Tahoma" w:hAnsi="Tahoma"/>
          <w:sz w:val="22"/>
          <w:szCs w:val="22"/>
        </w:rPr>
      </w:pPr>
    </w:p>
    <w:p w:rsidR="00CB6CD9" w:rsidRDefault="009C0677">
      <w:pPr>
        <w:pStyle w:val="Standard"/>
        <w:jc w:val="both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A) Giacenze a destinazione vincolata derivante da legge</w:t>
      </w: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5"/>
        <w:gridCol w:w="1320"/>
        <w:gridCol w:w="1305"/>
        <w:gridCol w:w="1170"/>
        <w:gridCol w:w="1245"/>
        <w:gridCol w:w="1320"/>
        <w:gridCol w:w="1395"/>
      </w:tblGrid>
      <w:tr w:rsidR="00CB6CD9">
        <w:tblPrEx>
          <w:tblCellMar>
            <w:top w:w="0" w:type="dxa"/>
            <w:bottom w:w="0" w:type="dxa"/>
          </w:tblCellMar>
        </w:tblPrEx>
        <w:tc>
          <w:tcPr>
            <w:tcW w:w="1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i/>
                <w:iCs/>
                <w:sz w:val="20"/>
                <w:szCs w:val="20"/>
              </w:rPr>
              <w:t>Gestione vincolata</w:t>
            </w:r>
          </w:p>
        </w:tc>
        <w:tc>
          <w:tcPr>
            <w:tcW w:w="50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Pagamenti  da effettuare</w:t>
            </w:r>
          </w:p>
        </w:tc>
        <w:tc>
          <w:tcPr>
            <w:tcW w:w="2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Somme da riscuotere</w:t>
            </w:r>
          </w:p>
        </w:tc>
      </w:tr>
      <w:tr w:rsidR="00CB6CD9">
        <w:tblPrEx>
          <w:tblCellMar>
            <w:top w:w="0" w:type="dxa"/>
            <w:bottom w:w="0" w:type="dxa"/>
          </w:tblCellMar>
        </w:tblPrEx>
        <w:tc>
          <w:tcPr>
            <w:tcW w:w="18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9C0677"/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i/>
                <w:iCs/>
                <w:sz w:val="20"/>
                <w:szCs w:val="20"/>
              </w:rPr>
            </w:pPr>
            <w:r>
              <w:rPr>
                <w:rFonts w:ascii="Tahoma" w:hAnsi="Tahoma"/>
                <w:i/>
                <w:iCs/>
                <w:sz w:val="20"/>
                <w:szCs w:val="20"/>
              </w:rPr>
              <w:t>Capitolo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i/>
                <w:iCs/>
                <w:sz w:val="20"/>
                <w:szCs w:val="20"/>
              </w:rPr>
            </w:pPr>
            <w:r>
              <w:rPr>
                <w:rFonts w:ascii="Tahoma" w:hAnsi="Tahoma"/>
                <w:i/>
                <w:iCs/>
                <w:sz w:val="20"/>
                <w:szCs w:val="20"/>
              </w:rPr>
              <w:t>RRPP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i/>
                <w:iCs/>
                <w:sz w:val="20"/>
                <w:szCs w:val="20"/>
              </w:rPr>
            </w:pPr>
            <w:r>
              <w:rPr>
                <w:rFonts w:ascii="Tahoma" w:hAnsi="Tahoma"/>
                <w:i/>
                <w:iCs/>
                <w:sz w:val="20"/>
                <w:szCs w:val="20"/>
              </w:rPr>
              <w:t>FPV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i/>
                <w:iCs/>
                <w:sz w:val="20"/>
                <w:szCs w:val="20"/>
              </w:rPr>
            </w:pPr>
            <w:r>
              <w:rPr>
                <w:rFonts w:ascii="Tahoma" w:hAnsi="Tahoma"/>
                <w:i/>
                <w:iCs/>
                <w:sz w:val="20"/>
                <w:szCs w:val="20"/>
              </w:rPr>
              <w:t>Avanzo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i/>
                <w:iCs/>
                <w:sz w:val="20"/>
                <w:szCs w:val="20"/>
              </w:rPr>
            </w:pPr>
            <w:r>
              <w:rPr>
                <w:rFonts w:ascii="Tahoma" w:hAnsi="Tahoma"/>
                <w:i/>
                <w:iCs/>
                <w:sz w:val="20"/>
                <w:szCs w:val="20"/>
              </w:rPr>
              <w:t>Capitolo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i/>
                <w:iCs/>
                <w:sz w:val="20"/>
                <w:szCs w:val="20"/>
              </w:rPr>
            </w:pPr>
            <w:r>
              <w:rPr>
                <w:rFonts w:ascii="Tahoma" w:hAnsi="Tahoma"/>
                <w:i/>
                <w:iCs/>
                <w:sz w:val="20"/>
                <w:szCs w:val="20"/>
              </w:rPr>
              <w:t>RRAA</w:t>
            </w:r>
          </w:p>
        </w:tc>
      </w:tr>
      <w:tr w:rsidR="00CB6CD9">
        <w:tblPrEx>
          <w:tblCellMar>
            <w:top w:w="0" w:type="dxa"/>
            <w:bottom w:w="0" w:type="dxa"/>
          </w:tblCellMar>
        </w:tblPrEx>
        <w:tc>
          <w:tcPr>
            <w:tcW w:w="18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Sanzioni codice della strada (art. 208, l. 285/92)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12400/1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right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1.502,08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right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right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11250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right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62.981,71</w:t>
            </w:r>
          </w:p>
        </w:tc>
      </w:tr>
      <w:tr w:rsidR="00CB6CD9">
        <w:tblPrEx>
          <w:tblCellMar>
            <w:top w:w="0" w:type="dxa"/>
            <w:bottom w:w="0" w:type="dxa"/>
          </w:tblCellMar>
        </w:tblPrEx>
        <w:tc>
          <w:tcPr>
            <w:tcW w:w="184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9C0677"/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12410/1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right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6,690,07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right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right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CB6CD9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CB6CD9">
            <w:pPr>
              <w:pStyle w:val="TableContents"/>
              <w:jc w:val="right"/>
              <w:rPr>
                <w:rFonts w:ascii="Tahoma" w:hAnsi="Tahoma"/>
                <w:sz w:val="20"/>
                <w:szCs w:val="20"/>
              </w:rPr>
            </w:pPr>
          </w:p>
        </w:tc>
      </w:tr>
      <w:tr w:rsidR="00CB6CD9">
        <w:tblPrEx>
          <w:tblCellMar>
            <w:top w:w="0" w:type="dxa"/>
            <w:bottom w:w="0" w:type="dxa"/>
          </w:tblCellMar>
        </w:tblPrEx>
        <w:tc>
          <w:tcPr>
            <w:tcW w:w="184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9C0677"/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12420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right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16,470,13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right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right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CB6CD9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CB6CD9">
            <w:pPr>
              <w:pStyle w:val="TableContents"/>
              <w:jc w:val="right"/>
              <w:rPr>
                <w:rFonts w:ascii="Tahoma" w:hAnsi="Tahoma"/>
                <w:sz w:val="20"/>
                <w:szCs w:val="20"/>
              </w:rPr>
            </w:pPr>
          </w:p>
        </w:tc>
      </w:tr>
      <w:tr w:rsidR="00CB6CD9">
        <w:tblPrEx>
          <w:tblCellMar>
            <w:top w:w="0" w:type="dxa"/>
            <w:bottom w:w="0" w:type="dxa"/>
          </w:tblCellMar>
        </w:tblPrEx>
        <w:tc>
          <w:tcPr>
            <w:tcW w:w="184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9C0677"/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12500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right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3.000,00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right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right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CB6CD9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CB6CD9">
            <w:pPr>
              <w:pStyle w:val="TableContents"/>
              <w:jc w:val="right"/>
              <w:rPr>
                <w:rFonts w:ascii="Tahoma" w:hAnsi="Tahoma"/>
                <w:sz w:val="20"/>
                <w:szCs w:val="20"/>
              </w:rPr>
            </w:pPr>
          </w:p>
        </w:tc>
      </w:tr>
      <w:tr w:rsidR="00CB6CD9">
        <w:tblPrEx>
          <w:tblCellMar>
            <w:top w:w="0" w:type="dxa"/>
            <w:bottom w:w="0" w:type="dxa"/>
          </w:tblCellMar>
        </w:tblPrEx>
        <w:tc>
          <w:tcPr>
            <w:tcW w:w="184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9C0677"/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372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27.662,28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62.981,71</w:t>
            </w:r>
          </w:p>
        </w:tc>
      </w:tr>
      <w:tr w:rsidR="00CB6CD9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i/>
                <w:iCs/>
                <w:sz w:val="20"/>
                <w:szCs w:val="20"/>
              </w:rPr>
              <w:t>Somme da riscuotere maggiori dei pagamenti da effettuare: non si rilevano giacenze vincolate</w:t>
            </w:r>
          </w:p>
        </w:tc>
      </w:tr>
    </w:tbl>
    <w:p w:rsidR="00CB6CD9" w:rsidRDefault="00CB6CD9">
      <w:pPr>
        <w:pStyle w:val="Standard"/>
        <w:jc w:val="both"/>
        <w:rPr>
          <w:rFonts w:ascii="Tahoma" w:hAnsi="Tahoma"/>
          <w:sz w:val="22"/>
          <w:szCs w:val="22"/>
        </w:rPr>
      </w:pPr>
    </w:p>
    <w:p w:rsidR="00CB6CD9" w:rsidRDefault="009C0677">
      <w:pPr>
        <w:pStyle w:val="Standard"/>
        <w:jc w:val="both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B) Giacenze a destinazione vincolata derivante da trasferimenti</w:t>
      </w: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5"/>
        <w:gridCol w:w="1320"/>
        <w:gridCol w:w="1305"/>
        <w:gridCol w:w="1170"/>
        <w:gridCol w:w="1245"/>
        <w:gridCol w:w="1320"/>
        <w:gridCol w:w="1395"/>
      </w:tblGrid>
      <w:tr w:rsidR="00CB6CD9">
        <w:tblPrEx>
          <w:tblCellMar>
            <w:top w:w="0" w:type="dxa"/>
            <w:bottom w:w="0" w:type="dxa"/>
          </w:tblCellMar>
        </w:tblPrEx>
        <w:tc>
          <w:tcPr>
            <w:tcW w:w="1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i/>
                <w:iCs/>
                <w:sz w:val="20"/>
                <w:szCs w:val="20"/>
              </w:rPr>
              <w:t>Gestione vincolata</w:t>
            </w:r>
          </w:p>
        </w:tc>
        <w:tc>
          <w:tcPr>
            <w:tcW w:w="50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Pagamenti  da effettuare</w:t>
            </w:r>
          </w:p>
        </w:tc>
        <w:tc>
          <w:tcPr>
            <w:tcW w:w="2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Somme da riscuotere</w:t>
            </w:r>
          </w:p>
        </w:tc>
      </w:tr>
      <w:tr w:rsidR="00CB6CD9">
        <w:tblPrEx>
          <w:tblCellMar>
            <w:top w:w="0" w:type="dxa"/>
            <w:bottom w:w="0" w:type="dxa"/>
          </w:tblCellMar>
        </w:tblPrEx>
        <w:tc>
          <w:tcPr>
            <w:tcW w:w="18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9C0677"/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i/>
                <w:iCs/>
                <w:sz w:val="20"/>
                <w:szCs w:val="20"/>
              </w:rPr>
            </w:pPr>
            <w:r>
              <w:rPr>
                <w:rFonts w:ascii="Tahoma" w:hAnsi="Tahoma"/>
                <w:i/>
                <w:iCs/>
                <w:sz w:val="20"/>
                <w:szCs w:val="20"/>
              </w:rPr>
              <w:t>Capitolo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i/>
                <w:iCs/>
                <w:sz w:val="20"/>
                <w:szCs w:val="20"/>
              </w:rPr>
            </w:pPr>
            <w:r>
              <w:rPr>
                <w:rFonts w:ascii="Tahoma" w:hAnsi="Tahoma"/>
                <w:i/>
                <w:iCs/>
                <w:sz w:val="20"/>
                <w:szCs w:val="20"/>
              </w:rPr>
              <w:t>RRPP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i/>
                <w:iCs/>
                <w:sz w:val="20"/>
                <w:szCs w:val="20"/>
              </w:rPr>
            </w:pPr>
            <w:r>
              <w:rPr>
                <w:rFonts w:ascii="Tahoma" w:hAnsi="Tahoma"/>
                <w:i/>
                <w:iCs/>
                <w:sz w:val="20"/>
                <w:szCs w:val="20"/>
              </w:rPr>
              <w:t>FPV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i/>
                <w:iCs/>
                <w:sz w:val="20"/>
                <w:szCs w:val="20"/>
              </w:rPr>
            </w:pPr>
            <w:r>
              <w:rPr>
                <w:rFonts w:ascii="Tahoma" w:hAnsi="Tahoma"/>
                <w:i/>
                <w:iCs/>
                <w:sz w:val="20"/>
                <w:szCs w:val="20"/>
              </w:rPr>
              <w:t>Avanzo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i/>
                <w:iCs/>
                <w:sz w:val="20"/>
                <w:szCs w:val="20"/>
              </w:rPr>
            </w:pPr>
            <w:r>
              <w:rPr>
                <w:rFonts w:ascii="Tahoma" w:hAnsi="Tahoma"/>
                <w:i/>
                <w:iCs/>
                <w:sz w:val="20"/>
                <w:szCs w:val="20"/>
              </w:rPr>
              <w:t>Capitolo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i/>
                <w:iCs/>
                <w:sz w:val="20"/>
                <w:szCs w:val="20"/>
              </w:rPr>
            </w:pPr>
            <w:r>
              <w:rPr>
                <w:rFonts w:ascii="Tahoma" w:hAnsi="Tahoma"/>
                <w:i/>
                <w:iCs/>
                <w:sz w:val="20"/>
                <w:szCs w:val="20"/>
              </w:rPr>
              <w:t>RRAA</w:t>
            </w:r>
          </w:p>
        </w:tc>
      </w:tr>
      <w:tr w:rsidR="00CB6CD9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Piano biblioteche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15250/2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right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0,00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right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right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11250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right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3.750,00</w:t>
            </w:r>
          </w:p>
        </w:tc>
      </w:tr>
      <w:tr w:rsidR="00CB6CD9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Piani zonizzazione sismica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15451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right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0,00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right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right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11965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right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7.000,00</w:t>
            </w:r>
          </w:p>
        </w:tc>
      </w:tr>
      <w:tr w:rsidR="00CB6CD9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Area ammassamento protezione civile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15520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right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2.375,09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right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right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12025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right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52.000,00</w:t>
            </w:r>
          </w:p>
        </w:tc>
      </w:tr>
      <w:tr w:rsidR="00CB6CD9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Miglioramento sismico edifici scolastici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15170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right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69.640,00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right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0,00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right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0,00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11920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right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70.000,00</w:t>
            </w:r>
          </w:p>
        </w:tc>
      </w:tr>
      <w:tr w:rsidR="00CB6CD9">
        <w:tblPrEx>
          <w:tblCellMar>
            <w:top w:w="0" w:type="dxa"/>
            <w:bottom w:w="0" w:type="dxa"/>
          </w:tblCellMar>
        </w:tblPrEx>
        <w:tc>
          <w:tcPr>
            <w:tcW w:w="18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CB6CD9">
            <w:pPr>
              <w:pStyle w:val="TableContents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3720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72.015,09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132.750,00</w:t>
            </w:r>
          </w:p>
        </w:tc>
      </w:tr>
    </w:tbl>
    <w:p w:rsidR="00000000" w:rsidRDefault="009C0677">
      <w:pPr>
        <w:rPr>
          <w:vanish/>
        </w:rPr>
      </w:pP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0"/>
      </w:tblGrid>
      <w:tr w:rsidR="00CB6CD9">
        <w:tblPrEx>
          <w:tblCellMar>
            <w:top w:w="0" w:type="dxa"/>
            <w:bottom w:w="0" w:type="dxa"/>
          </w:tblCellMar>
        </w:tblPrEx>
        <w:tc>
          <w:tcPr>
            <w:tcW w:w="9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i/>
                <w:iCs/>
                <w:sz w:val="20"/>
                <w:szCs w:val="20"/>
              </w:rPr>
              <w:t>Somme da riscuotere</w:t>
            </w:r>
            <w:r>
              <w:rPr>
                <w:rFonts w:ascii="Tahoma" w:hAnsi="Tahoma"/>
                <w:b/>
                <w:bCs/>
                <w:i/>
                <w:iCs/>
                <w:sz w:val="20"/>
                <w:szCs w:val="20"/>
              </w:rPr>
              <w:t xml:space="preserve"> maggiori dei pagamenti da effettuare: non si rilevano giacenze vincolate</w:t>
            </w:r>
          </w:p>
        </w:tc>
      </w:tr>
    </w:tbl>
    <w:p w:rsidR="00CB6CD9" w:rsidRDefault="00CB6CD9">
      <w:pPr>
        <w:pStyle w:val="Standard"/>
        <w:jc w:val="both"/>
        <w:rPr>
          <w:rFonts w:ascii="Tahoma" w:hAnsi="Tahoma"/>
          <w:b/>
          <w:bCs/>
          <w:sz w:val="22"/>
          <w:szCs w:val="22"/>
        </w:rPr>
      </w:pPr>
    </w:p>
    <w:p w:rsidR="00CB6CD9" w:rsidRDefault="009C0677">
      <w:pPr>
        <w:pStyle w:val="Standard"/>
        <w:jc w:val="both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C) Giacenze a destinazione vincolata derivante da prestiti</w:t>
      </w:r>
    </w:p>
    <w:tbl>
      <w:tblPr>
        <w:tblW w:w="81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6"/>
        <w:gridCol w:w="1377"/>
        <w:gridCol w:w="1377"/>
        <w:gridCol w:w="1377"/>
        <w:gridCol w:w="1377"/>
        <w:gridCol w:w="1291"/>
      </w:tblGrid>
      <w:tr w:rsidR="00CB6CD9">
        <w:tblPrEx>
          <w:tblCellMar>
            <w:top w:w="0" w:type="dxa"/>
            <w:bottom w:w="0" w:type="dxa"/>
          </w:tblCellMar>
        </w:tblPrEx>
        <w:tc>
          <w:tcPr>
            <w:tcW w:w="55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Pagamenti  da effettuare</w:t>
            </w:r>
          </w:p>
        </w:tc>
        <w:tc>
          <w:tcPr>
            <w:tcW w:w="2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Somme da riscuotere</w:t>
            </w:r>
          </w:p>
        </w:tc>
      </w:tr>
      <w:tr w:rsidR="00CB6CD9">
        <w:tblPrEx>
          <w:tblCellMar>
            <w:top w:w="0" w:type="dxa"/>
            <w:bottom w:w="0" w:type="dxa"/>
          </w:tblCellMar>
        </w:tblPrEx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i/>
                <w:iCs/>
                <w:sz w:val="20"/>
                <w:szCs w:val="20"/>
              </w:rPr>
            </w:pPr>
            <w:r>
              <w:rPr>
                <w:rFonts w:ascii="Tahoma" w:hAnsi="Tahoma"/>
                <w:i/>
                <w:iCs/>
                <w:sz w:val="20"/>
                <w:szCs w:val="20"/>
              </w:rPr>
              <w:t>Capitolo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i/>
                <w:iCs/>
                <w:sz w:val="20"/>
                <w:szCs w:val="20"/>
              </w:rPr>
            </w:pPr>
            <w:r>
              <w:rPr>
                <w:rFonts w:ascii="Tahoma" w:hAnsi="Tahoma"/>
                <w:i/>
                <w:iCs/>
                <w:sz w:val="20"/>
                <w:szCs w:val="20"/>
              </w:rPr>
              <w:t>RRPP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i/>
                <w:iCs/>
                <w:sz w:val="20"/>
                <w:szCs w:val="20"/>
              </w:rPr>
            </w:pPr>
            <w:r>
              <w:rPr>
                <w:rFonts w:ascii="Tahoma" w:hAnsi="Tahoma"/>
                <w:i/>
                <w:iCs/>
                <w:sz w:val="20"/>
                <w:szCs w:val="20"/>
              </w:rPr>
              <w:t>FPV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i/>
                <w:iCs/>
                <w:sz w:val="20"/>
                <w:szCs w:val="20"/>
              </w:rPr>
            </w:pPr>
            <w:r>
              <w:rPr>
                <w:rFonts w:ascii="Tahoma" w:hAnsi="Tahoma"/>
                <w:i/>
                <w:iCs/>
                <w:sz w:val="20"/>
                <w:szCs w:val="20"/>
              </w:rPr>
              <w:t>Avanzo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i/>
                <w:iCs/>
                <w:sz w:val="20"/>
                <w:szCs w:val="20"/>
              </w:rPr>
            </w:pPr>
            <w:r>
              <w:rPr>
                <w:rFonts w:ascii="Tahoma" w:hAnsi="Tahoma"/>
                <w:i/>
                <w:iCs/>
                <w:sz w:val="20"/>
                <w:szCs w:val="20"/>
              </w:rPr>
              <w:t>Capitolo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i/>
                <w:iCs/>
                <w:sz w:val="20"/>
                <w:szCs w:val="20"/>
              </w:rPr>
            </w:pPr>
            <w:r>
              <w:rPr>
                <w:rFonts w:ascii="Tahoma" w:hAnsi="Tahoma"/>
                <w:i/>
                <w:iCs/>
                <w:sz w:val="20"/>
                <w:szCs w:val="20"/>
              </w:rPr>
              <w:t>RRAA</w:t>
            </w:r>
          </w:p>
        </w:tc>
      </w:tr>
      <w:tr w:rsidR="00CB6CD9">
        <w:tblPrEx>
          <w:tblCellMar>
            <w:top w:w="0" w:type="dxa"/>
            <w:bottom w:w="0" w:type="dxa"/>
          </w:tblCellMar>
        </w:tblPrEx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15190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CD9" w:rsidRDefault="009C0677">
            <w:pPr>
              <w:pStyle w:val="TableContents"/>
              <w:jc w:val="right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953,81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CD9" w:rsidRDefault="009C0677">
            <w:pPr>
              <w:pStyle w:val="TableContents"/>
              <w:jc w:val="right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CD9" w:rsidRDefault="009C0677">
            <w:pPr>
              <w:pStyle w:val="TableContents"/>
              <w:jc w:val="right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1110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6CD9" w:rsidRDefault="009C0677">
            <w:pPr>
              <w:pStyle w:val="TableContents"/>
              <w:jc w:val="right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3.496,71</w:t>
            </w:r>
          </w:p>
        </w:tc>
      </w:tr>
    </w:tbl>
    <w:p w:rsidR="00000000" w:rsidRDefault="009C0677">
      <w:pPr>
        <w:rPr>
          <w:vanish/>
        </w:rPr>
      </w:pPr>
    </w:p>
    <w:tbl>
      <w:tblPr>
        <w:tblW w:w="81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6"/>
        <w:gridCol w:w="1377"/>
        <w:gridCol w:w="1377"/>
        <w:gridCol w:w="1377"/>
        <w:gridCol w:w="1377"/>
        <w:gridCol w:w="1291"/>
      </w:tblGrid>
      <w:tr w:rsidR="00CB6CD9">
        <w:tblPrEx>
          <w:tblCellMar>
            <w:top w:w="0" w:type="dxa"/>
            <w:bottom w:w="0" w:type="dxa"/>
          </w:tblCellMar>
        </w:tblPrEx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15250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right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18.682,65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right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0,00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right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46.191,45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12600/1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right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27.088,65</w:t>
            </w:r>
          </w:p>
        </w:tc>
      </w:tr>
      <w:tr w:rsidR="00CB6CD9">
        <w:tblPrEx>
          <w:tblCellMar>
            <w:top w:w="0" w:type="dxa"/>
            <w:bottom w:w="0" w:type="dxa"/>
          </w:tblCellMar>
        </w:tblPrEx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CB6CD9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CB6CD9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CB6CD9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CB6CD9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12600/2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right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6.739,15</w:t>
            </w:r>
          </w:p>
        </w:tc>
      </w:tr>
      <w:tr w:rsidR="00CB6CD9">
        <w:tblPrEx>
          <w:tblCellMar>
            <w:top w:w="0" w:type="dxa"/>
            <w:bottom w:w="0" w:type="dxa"/>
          </w:tblCellMar>
        </w:tblPrEx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CB6CD9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CB6CD9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CB6CD9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CB6CD9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12600/3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right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10.032,74</w:t>
            </w:r>
          </w:p>
        </w:tc>
      </w:tr>
      <w:tr w:rsidR="00CB6CD9">
        <w:tblPrEx>
          <w:tblCellMar>
            <w:top w:w="0" w:type="dxa"/>
            <w:bottom w:w="0" w:type="dxa"/>
          </w:tblCellMar>
        </w:tblPrEx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CB6CD9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CB6CD9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CB6CD9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CB6CD9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12610/1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right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18.467,97</w:t>
            </w:r>
          </w:p>
        </w:tc>
      </w:tr>
      <w:tr w:rsidR="00CB6CD9">
        <w:tblPrEx>
          <w:tblCellMar>
            <w:top w:w="0" w:type="dxa"/>
            <w:bottom w:w="0" w:type="dxa"/>
          </w:tblCellMar>
        </w:tblPrEx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CB6CD9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CB6CD9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CB6CD9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CB6CD9">
            <w:pPr>
              <w:pStyle w:val="TableContents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12610/2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right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2,69</w:t>
            </w:r>
          </w:p>
        </w:tc>
      </w:tr>
      <w:tr w:rsidR="00CB6CD9">
        <w:tblPrEx>
          <w:tblCellMar>
            <w:top w:w="0" w:type="dxa"/>
            <w:bottom w:w="0" w:type="dxa"/>
          </w:tblCellMar>
        </w:tblPrEx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4131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65.827,91</w:t>
            </w:r>
          </w:p>
        </w:tc>
        <w:tc>
          <w:tcPr>
            <w:tcW w:w="1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right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65.827,91</w:t>
            </w:r>
          </w:p>
        </w:tc>
      </w:tr>
      <w:tr w:rsidR="00CB6CD9">
        <w:tblPrEx>
          <w:tblCellMar>
            <w:top w:w="0" w:type="dxa"/>
            <w:bottom w:w="0" w:type="dxa"/>
          </w:tblCellMar>
        </w:tblPrEx>
        <w:tc>
          <w:tcPr>
            <w:tcW w:w="81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B6CD9" w:rsidRDefault="009C0677">
            <w:pPr>
              <w:pStyle w:val="TableContents"/>
              <w:jc w:val="center"/>
              <w:rPr>
                <w:rFonts w:ascii="Tahoma" w:hAnsi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i/>
                <w:iCs/>
                <w:sz w:val="20"/>
                <w:szCs w:val="20"/>
              </w:rPr>
              <w:t>Differenza pari a zero: non si rilevano giacenze vincolate</w:t>
            </w:r>
          </w:p>
        </w:tc>
      </w:tr>
    </w:tbl>
    <w:p w:rsidR="00CB6CD9" w:rsidRDefault="00CB6CD9">
      <w:pPr>
        <w:pStyle w:val="Standard"/>
        <w:jc w:val="both"/>
        <w:rPr>
          <w:rFonts w:ascii="Tahoma" w:hAnsi="Tahoma"/>
          <w:sz w:val="22"/>
          <w:szCs w:val="22"/>
        </w:rPr>
      </w:pPr>
    </w:p>
    <w:p w:rsidR="00CB6CD9" w:rsidRDefault="009C0677">
      <w:pPr>
        <w:pStyle w:val="Standard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Preso atto</w:t>
      </w:r>
      <w:r>
        <w:rPr>
          <w:rFonts w:ascii="Tahoma" w:hAnsi="Tahoma"/>
          <w:sz w:val="22"/>
          <w:szCs w:val="22"/>
        </w:rPr>
        <w:t xml:space="preserve"> pertanto che, sulla base della ricognizione sopra descritta, non esistono al 1 gennaio 2015 somme giacenti presso la tesoreria comunale aventi destinazione vincolata, e che di conseguenza:</w:t>
      </w:r>
    </w:p>
    <w:p w:rsidR="00CB6CD9" w:rsidRDefault="009C0677">
      <w:pPr>
        <w:pStyle w:val="Standard"/>
        <w:numPr>
          <w:ilvl w:val="0"/>
          <w:numId w:val="4"/>
        </w:numPr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non dovranno essere trasferite somme sui conti vincolati presso la</w:t>
      </w:r>
      <w:r>
        <w:rPr>
          <w:rFonts w:ascii="Tahoma" w:hAnsi="Tahoma"/>
          <w:sz w:val="22"/>
          <w:szCs w:val="22"/>
        </w:rPr>
        <w:t xml:space="preserve"> Banca d'Italia e presso la tesoreria comunale, né effettuata alcuna registrazione contabile connessa;</w:t>
      </w:r>
    </w:p>
    <w:p w:rsidR="00CB6CD9" w:rsidRDefault="009C0677">
      <w:pPr>
        <w:pStyle w:val="Standard"/>
        <w:numPr>
          <w:ilvl w:val="0"/>
          <w:numId w:val="4"/>
        </w:numPr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non dev'essere costituito alcun vincolo sull'anticipazione di tesoreria 2015, autorizzata con deliberazione della Giunta Comunale n. 118 del 15 dicembre </w:t>
      </w:r>
      <w:r>
        <w:rPr>
          <w:rFonts w:ascii="Tahoma" w:hAnsi="Tahoma"/>
          <w:sz w:val="22"/>
          <w:szCs w:val="22"/>
        </w:rPr>
        <w:t>2014;</w:t>
      </w:r>
    </w:p>
    <w:p w:rsidR="00CB6CD9" w:rsidRDefault="009C0677">
      <w:pPr>
        <w:pStyle w:val="Standard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ab/>
      </w:r>
    </w:p>
    <w:p w:rsidR="00CB6CD9" w:rsidRDefault="009C0677">
      <w:pPr>
        <w:pStyle w:val="Standard"/>
        <w:jc w:val="center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lastRenderedPageBreak/>
        <w:t>DETERMINA</w:t>
      </w:r>
    </w:p>
    <w:p w:rsidR="00CB6CD9" w:rsidRDefault="00CB6CD9">
      <w:pPr>
        <w:pStyle w:val="Standard"/>
        <w:jc w:val="center"/>
        <w:rPr>
          <w:rFonts w:ascii="Tahoma" w:hAnsi="Tahoma"/>
          <w:b/>
          <w:bCs/>
          <w:sz w:val="22"/>
          <w:szCs w:val="22"/>
        </w:rPr>
      </w:pPr>
    </w:p>
    <w:p w:rsidR="00CB6CD9" w:rsidRDefault="009C0677">
      <w:pPr>
        <w:pStyle w:val="Standard"/>
        <w:numPr>
          <w:ilvl w:val="0"/>
          <w:numId w:val="5"/>
        </w:numPr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Di accertare </w:t>
      </w:r>
      <w:r>
        <w:rPr>
          <w:rFonts w:ascii="Tahoma" w:hAnsi="Tahoma"/>
          <w:sz w:val="22"/>
          <w:szCs w:val="22"/>
        </w:rPr>
        <w:t xml:space="preserve">l'assenza, al 1 gennaio 2015, di somme giacenti presso la tesoreria comunale con natura di entrate a destinazione vincolata derivante da legge, trasferimenti o prestiti, sulla base dei dati di preconsuntivo disponibili </w:t>
      </w:r>
      <w:r>
        <w:rPr>
          <w:rFonts w:ascii="Tahoma" w:hAnsi="Tahoma"/>
          <w:sz w:val="22"/>
          <w:szCs w:val="22"/>
        </w:rPr>
        <w:t>presso l'ente, come analiticamente esposti in premessa;</w:t>
      </w:r>
    </w:p>
    <w:p w:rsidR="00CB6CD9" w:rsidRDefault="00CB6CD9">
      <w:pPr>
        <w:pStyle w:val="Standard"/>
        <w:jc w:val="both"/>
        <w:rPr>
          <w:rFonts w:ascii="Tahoma" w:hAnsi="Tahoma"/>
          <w:sz w:val="22"/>
          <w:szCs w:val="22"/>
        </w:rPr>
      </w:pPr>
    </w:p>
    <w:p w:rsidR="00CB6CD9" w:rsidRDefault="009C0677">
      <w:pPr>
        <w:pStyle w:val="Standard"/>
        <w:numPr>
          <w:ilvl w:val="0"/>
          <w:numId w:val="5"/>
        </w:numPr>
        <w:ind w:left="450" w:hanging="420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 xml:space="preserve">Di rinviare </w:t>
      </w:r>
      <w:r>
        <w:rPr>
          <w:rFonts w:ascii="Tahoma" w:hAnsi="Tahoma"/>
          <w:sz w:val="22"/>
          <w:szCs w:val="22"/>
        </w:rPr>
        <w:t xml:space="preserve"> la ricognizione definitiva delle giacenze vincolate all'approvazione del rendiconto di gestione per l'esercizio 2014;</w:t>
      </w:r>
    </w:p>
    <w:p w:rsidR="00CB6CD9" w:rsidRDefault="00CB6CD9">
      <w:pPr>
        <w:pStyle w:val="Standard"/>
        <w:jc w:val="both"/>
        <w:rPr>
          <w:rFonts w:ascii="Tahoma" w:hAnsi="Tahoma"/>
          <w:sz w:val="22"/>
          <w:szCs w:val="22"/>
        </w:rPr>
      </w:pPr>
    </w:p>
    <w:p w:rsidR="00CB6CD9" w:rsidRDefault="009C0677">
      <w:pPr>
        <w:pStyle w:val="Textbody"/>
        <w:numPr>
          <w:ilvl w:val="0"/>
          <w:numId w:val="5"/>
        </w:numPr>
        <w:spacing w:after="0"/>
        <w:jc w:val="both"/>
        <w:rPr>
          <w:rFonts w:ascii="Tahoma" w:hAnsi="Tahoma"/>
        </w:rPr>
      </w:pPr>
      <w:r>
        <w:rPr>
          <w:rFonts w:ascii="Tahoma" w:hAnsi="Tahoma"/>
          <w:b/>
          <w:sz w:val="22"/>
          <w:szCs w:val="22"/>
        </w:rPr>
        <w:t>Di attestare</w:t>
      </w:r>
      <w:r>
        <w:rPr>
          <w:rFonts w:ascii="Tahoma" w:hAnsi="Tahoma"/>
          <w:sz w:val="22"/>
          <w:szCs w:val="22"/>
        </w:rPr>
        <w:t xml:space="preserve">, ai sensi dell’articolo 147-bis del T.U.E.L., la </w:t>
      </w:r>
      <w:r>
        <w:rPr>
          <w:rFonts w:ascii="Tahoma" w:hAnsi="Tahoma"/>
          <w:sz w:val="22"/>
          <w:szCs w:val="22"/>
        </w:rPr>
        <w:t>regolarità e la correttezza dell’azione amministrativa esercitata con l’adozione del presente provvedimento;</w:t>
      </w:r>
    </w:p>
    <w:p w:rsidR="00CB6CD9" w:rsidRDefault="00CB6CD9">
      <w:pPr>
        <w:pStyle w:val="Textbody"/>
        <w:spacing w:after="0"/>
        <w:jc w:val="both"/>
        <w:rPr>
          <w:rFonts w:ascii="Tahoma" w:hAnsi="Tahoma"/>
          <w:sz w:val="22"/>
          <w:szCs w:val="22"/>
        </w:rPr>
      </w:pPr>
    </w:p>
    <w:p w:rsidR="00CB6CD9" w:rsidRDefault="009C0677">
      <w:pPr>
        <w:pStyle w:val="Textbody"/>
        <w:numPr>
          <w:ilvl w:val="0"/>
          <w:numId w:val="5"/>
        </w:numPr>
        <w:spacing w:after="0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Di trasmettere</w:t>
      </w:r>
      <w:r>
        <w:rPr>
          <w:rFonts w:ascii="Tahoma" w:hAnsi="Tahoma"/>
          <w:sz w:val="22"/>
          <w:szCs w:val="22"/>
        </w:rPr>
        <w:t xml:space="preserve"> il presente provvedimento al Responsabile del servizio finanziario, per il visto di regolarità contabile che ne attesta la copertur</w:t>
      </w:r>
      <w:r>
        <w:rPr>
          <w:rFonts w:ascii="Tahoma" w:hAnsi="Tahoma"/>
          <w:sz w:val="22"/>
          <w:szCs w:val="22"/>
        </w:rPr>
        <w:t>a finanziaria, ed in seguito:</w:t>
      </w:r>
    </w:p>
    <w:p w:rsidR="00CB6CD9" w:rsidRDefault="009C0677">
      <w:pPr>
        <w:pStyle w:val="Textbody"/>
        <w:numPr>
          <w:ilvl w:val="0"/>
          <w:numId w:val="6"/>
        </w:numPr>
        <w:spacing w:after="0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alla tesoreria comunale;</w:t>
      </w:r>
    </w:p>
    <w:p w:rsidR="00CB6CD9" w:rsidRDefault="009C0677">
      <w:pPr>
        <w:pStyle w:val="Textbody"/>
        <w:numPr>
          <w:ilvl w:val="0"/>
          <w:numId w:val="6"/>
        </w:numPr>
        <w:spacing w:after="0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all'Ufficio Segreteria, per la prescritta pubblicazione.</w:t>
      </w:r>
    </w:p>
    <w:bookmarkEnd w:id="0"/>
    <w:p w:rsidR="00CB6CD9" w:rsidRDefault="00CB6CD9">
      <w:pPr>
        <w:pStyle w:val="Standard"/>
        <w:jc w:val="both"/>
        <w:rPr>
          <w:rFonts w:ascii="Tahoma" w:hAnsi="Tahoma"/>
          <w:sz w:val="22"/>
          <w:szCs w:val="22"/>
        </w:rPr>
      </w:pPr>
    </w:p>
    <w:sectPr w:rsidR="00CB6CD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677" w:rsidRDefault="009C0677">
      <w:r>
        <w:separator/>
      </w:r>
    </w:p>
  </w:endnote>
  <w:endnote w:type="continuationSeparator" w:id="0">
    <w:p w:rsidR="009C0677" w:rsidRDefault="009C0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677" w:rsidRDefault="009C0677">
      <w:r>
        <w:rPr>
          <w:color w:val="000000"/>
        </w:rPr>
        <w:separator/>
      </w:r>
    </w:p>
  </w:footnote>
  <w:footnote w:type="continuationSeparator" w:id="0">
    <w:p w:rsidR="009C0677" w:rsidRDefault="009C0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E5AF3"/>
    <w:multiLevelType w:val="multilevel"/>
    <w:tmpl w:val="CC30FC4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>
    <w:nsid w:val="141643DB"/>
    <w:multiLevelType w:val="multilevel"/>
    <w:tmpl w:val="D8CCC6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>
    <w:nsid w:val="1C3720F8"/>
    <w:multiLevelType w:val="multilevel"/>
    <w:tmpl w:val="E506BBF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>
    <w:nsid w:val="1C9A7A56"/>
    <w:multiLevelType w:val="multilevel"/>
    <w:tmpl w:val="019AA89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3C8D3FFC"/>
    <w:multiLevelType w:val="multilevel"/>
    <w:tmpl w:val="C57EF3C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>
    <w:nsid w:val="4C8B386B"/>
    <w:multiLevelType w:val="multilevel"/>
    <w:tmpl w:val="48A67AC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B6CD9"/>
    <w:rsid w:val="007632E1"/>
    <w:rsid w:val="009C0677"/>
    <w:rsid w:val="00CB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8F856F-131C-43AB-AD63-FA6506CD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2015-01-12T17:36:00Z</dcterms:created>
  <dcterms:modified xsi:type="dcterms:W3CDTF">2015-01-12T17:36:00Z</dcterms:modified>
</cp:coreProperties>
</file>